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1734" w14:textId="7B30CB0E" w:rsidR="00376DC4" w:rsidRPr="00376DC4" w:rsidRDefault="00E37CB1" w:rsidP="00376DC4">
      <w:pPr>
        <w:spacing w:line="480" w:lineRule="atLeast"/>
        <w:jc w:val="both"/>
        <w:rPr>
          <w:rFonts w:ascii="Verdana" w:hAnsi="Verdana"/>
          <w:sz w:val="20"/>
          <w:szCs w:val="20"/>
        </w:rPr>
      </w:pPr>
      <w:r>
        <w:rPr>
          <w:rFonts w:ascii="Verdana" w:hAnsi="Verdana"/>
          <w:b/>
          <w:bCs/>
          <w:sz w:val="20"/>
          <w:szCs w:val="20"/>
        </w:rPr>
        <w:t>I</w:t>
      </w:r>
      <w:r w:rsidR="00376DC4" w:rsidRPr="00376DC4">
        <w:rPr>
          <w:rFonts w:ascii="Verdana" w:hAnsi="Verdana"/>
          <w:b/>
          <w:bCs/>
          <w:sz w:val="20"/>
          <w:szCs w:val="20"/>
        </w:rPr>
        <w:t xml:space="preserve">talian Supreme Court, Criminal </w:t>
      </w:r>
      <w:r>
        <w:rPr>
          <w:rFonts w:ascii="Verdana" w:hAnsi="Verdana"/>
          <w:b/>
          <w:bCs/>
          <w:sz w:val="20"/>
          <w:szCs w:val="20"/>
        </w:rPr>
        <w:t>Division</w:t>
      </w:r>
      <w:r w:rsidR="00376DC4" w:rsidRPr="00376DC4">
        <w:rPr>
          <w:rFonts w:ascii="Verdana" w:hAnsi="Verdana"/>
          <w:b/>
          <w:bCs/>
          <w:sz w:val="20"/>
          <w:szCs w:val="20"/>
        </w:rPr>
        <w:t xml:space="preserve"> III, 4 August 2025, no. 28501</w:t>
      </w:r>
    </w:p>
    <w:p w14:paraId="4E131875" w14:textId="5C3AB76C" w:rsidR="00376DC4" w:rsidRPr="00376DC4" w:rsidRDefault="00376DC4" w:rsidP="00E37CB1">
      <w:pPr>
        <w:spacing w:line="480" w:lineRule="atLeast"/>
        <w:jc w:val="both"/>
        <w:rPr>
          <w:rFonts w:ascii="Verdana" w:hAnsi="Verdana"/>
          <w:sz w:val="20"/>
          <w:szCs w:val="20"/>
        </w:rPr>
      </w:pPr>
      <w:r w:rsidRPr="00376DC4">
        <w:rPr>
          <w:rFonts w:ascii="Verdana" w:hAnsi="Verdana"/>
          <w:b/>
          <w:bCs/>
          <w:sz w:val="20"/>
          <w:szCs w:val="20"/>
        </w:rPr>
        <w:t>Headnote</w:t>
      </w:r>
      <w:r w:rsidRPr="00376DC4">
        <w:rPr>
          <w:rFonts w:ascii="Verdana" w:hAnsi="Verdana"/>
          <w:sz w:val="20"/>
          <w:szCs w:val="20"/>
        </w:rPr>
        <w:br/>
        <w:t>Industrial property rights – Sale of wood pellet bags whose packaging prominently displayed the Swedish flag and the words “Swedish Pellet”</w:t>
      </w:r>
      <w:r w:rsidR="00E37CB1">
        <w:rPr>
          <w:rFonts w:ascii="Verdana" w:hAnsi="Verdana"/>
          <w:sz w:val="20"/>
          <w:szCs w:val="20"/>
        </w:rPr>
        <w:t xml:space="preserve"> as well as i</w:t>
      </w:r>
      <w:r w:rsidRPr="00376DC4">
        <w:rPr>
          <w:rFonts w:ascii="Verdana" w:hAnsi="Verdana"/>
          <w:sz w:val="20"/>
          <w:szCs w:val="20"/>
        </w:rPr>
        <w:t xml:space="preserve">ndication of Latvia as the country of distribution – Misleading statements likely to deceive the consumer as to the actual origin and provenance of the pellets – Offence under Article 517 of the Criminal Code – Appeal – Dismissal – Correct application on appeal of the principle of legal provenance (which coincides with geographical provenance) </w:t>
      </w:r>
      <w:r w:rsidR="00E37CB1" w:rsidRPr="00E37CB1">
        <w:rPr>
          <w:rFonts w:ascii="Verdana" w:hAnsi="Verdana"/>
          <w:sz w:val="20"/>
          <w:szCs w:val="20"/>
        </w:rPr>
        <w:t>in a very peculiar case</w:t>
      </w:r>
      <w:r w:rsidRPr="00376DC4">
        <w:rPr>
          <w:rFonts w:ascii="Verdana" w:hAnsi="Verdana"/>
          <w:sz w:val="20"/>
          <w:szCs w:val="20"/>
        </w:rPr>
        <w:t xml:space="preserve"> where the mark consists of a geographical indication – Invalidity of the registration of a sign as a trademark where it induces the public to believe erroneously that the product comes from a territory known for the excellent qualities of that product (such as wood from Sweden).</w:t>
      </w:r>
    </w:p>
    <w:p w14:paraId="1C1BCC56" w14:textId="77777777" w:rsidR="00E37CB1" w:rsidRDefault="00376DC4" w:rsidP="00E37CB1">
      <w:pPr>
        <w:spacing w:line="480" w:lineRule="atLeast"/>
        <w:jc w:val="both"/>
        <w:rPr>
          <w:rFonts w:ascii="Verdana" w:hAnsi="Verdana"/>
          <w:sz w:val="20"/>
          <w:szCs w:val="20"/>
        </w:rPr>
      </w:pPr>
      <w:r w:rsidRPr="00376DC4">
        <w:rPr>
          <w:rFonts w:ascii="Verdana" w:hAnsi="Verdana"/>
          <w:b/>
          <w:bCs/>
          <w:sz w:val="20"/>
          <w:szCs w:val="20"/>
        </w:rPr>
        <w:t>JUDGMENT</w:t>
      </w:r>
      <w:r w:rsidRPr="00376DC4">
        <w:rPr>
          <w:rFonts w:ascii="Verdana" w:hAnsi="Verdana"/>
          <w:sz w:val="20"/>
          <w:szCs w:val="20"/>
        </w:rPr>
        <w:br/>
        <w:t xml:space="preserve">(President: </w:t>
      </w:r>
      <w:r w:rsidR="00E37CB1">
        <w:rPr>
          <w:rFonts w:ascii="Verdana" w:hAnsi="Verdana"/>
          <w:sz w:val="20"/>
          <w:szCs w:val="20"/>
        </w:rPr>
        <w:t>Mr</w:t>
      </w:r>
      <w:r w:rsidRPr="00376DC4">
        <w:rPr>
          <w:rFonts w:ascii="Verdana" w:hAnsi="Verdana"/>
          <w:sz w:val="20"/>
          <w:szCs w:val="20"/>
        </w:rPr>
        <w:t>. Di Nicola Vito – Reporting Judge:</w:t>
      </w:r>
      <w:r w:rsidR="00E37CB1">
        <w:rPr>
          <w:rFonts w:ascii="Verdana" w:hAnsi="Verdana"/>
          <w:sz w:val="20"/>
          <w:szCs w:val="20"/>
        </w:rPr>
        <w:t xml:space="preserve"> Ms</w:t>
      </w:r>
      <w:r w:rsidRPr="00376DC4">
        <w:rPr>
          <w:rFonts w:ascii="Verdana" w:hAnsi="Verdana"/>
          <w:sz w:val="20"/>
          <w:szCs w:val="20"/>
        </w:rPr>
        <w:t xml:space="preserve">. </w:t>
      </w:r>
      <w:proofErr w:type="spellStart"/>
      <w:r w:rsidRPr="00376DC4">
        <w:rPr>
          <w:rFonts w:ascii="Verdana" w:hAnsi="Verdana"/>
          <w:sz w:val="20"/>
          <w:szCs w:val="20"/>
        </w:rPr>
        <w:t>Macrì</w:t>
      </w:r>
      <w:proofErr w:type="spellEnd"/>
      <w:r w:rsidRPr="00376DC4">
        <w:rPr>
          <w:rFonts w:ascii="Verdana" w:hAnsi="Verdana"/>
          <w:sz w:val="20"/>
          <w:szCs w:val="20"/>
        </w:rPr>
        <w:t xml:space="preserve"> Ubalda</w:t>
      </w:r>
    </w:p>
    <w:p w14:paraId="4EB0B763" w14:textId="77777777" w:rsidR="00E37CB1" w:rsidRDefault="00376DC4" w:rsidP="00E37CB1">
      <w:pPr>
        <w:spacing w:line="480" w:lineRule="atLeast"/>
        <w:jc w:val="both"/>
        <w:rPr>
          <w:rFonts w:ascii="Verdana" w:hAnsi="Verdana"/>
          <w:sz w:val="20"/>
          <w:szCs w:val="20"/>
        </w:rPr>
      </w:pPr>
      <w:r w:rsidRPr="00376DC4">
        <w:rPr>
          <w:rFonts w:ascii="Verdana" w:hAnsi="Verdana"/>
          <w:sz w:val="20"/>
          <w:szCs w:val="20"/>
        </w:rPr>
        <w:t>On the appeal of</w:t>
      </w:r>
      <w:r w:rsidR="00E37CB1">
        <w:rPr>
          <w:rFonts w:ascii="Verdana" w:hAnsi="Verdana"/>
          <w:sz w:val="20"/>
          <w:szCs w:val="20"/>
        </w:rPr>
        <w:t xml:space="preserve">: </w:t>
      </w:r>
    </w:p>
    <w:p w14:paraId="0DD4DA87" w14:textId="77777777" w:rsidR="00E37CB1" w:rsidRDefault="00376DC4" w:rsidP="00E37CB1">
      <w:pPr>
        <w:spacing w:line="480" w:lineRule="atLeast"/>
        <w:jc w:val="both"/>
        <w:rPr>
          <w:rFonts w:ascii="Verdana" w:hAnsi="Verdana"/>
          <w:sz w:val="20"/>
          <w:szCs w:val="20"/>
        </w:rPr>
      </w:pPr>
      <w:r w:rsidRPr="00376DC4">
        <w:rPr>
          <w:rFonts w:ascii="Verdana" w:hAnsi="Verdana"/>
          <w:sz w:val="20"/>
          <w:szCs w:val="20"/>
        </w:rPr>
        <w:br/>
        <w:t>R.F., born in Nettuno on omitted,</w:t>
      </w:r>
    </w:p>
    <w:p w14:paraId="02E66430" w14:textId="77777777" w:rsidR="00E37CB1" w:rsidRDefault="00376DC4" w:rsidP="00E37CB1">
      <w:pPr>
        <w:spacing w:line="480" w:lineRule="atLeast"/>
        <w:jc w:val="both"/>
        <w:rPr>
          <w:rFonts w:ascii="Verdana" w:hAnsi="Verdana"/>
          <w:sz w:val="20"/>
          <w:szCs w:val="20"/>
        </w:rPr>
      </w:pPr>
      <w:r w:rsidRPr="00376DC4">
        <w:rPr>
          <w:rFonts w:ascii="Verdana" w:hAnsi="Verdana"/>
          <w:sz w:val="20"/>
          <w:szCs w:val="20"/>
        </w:rPr>
        <w:t>against the judgment dated 15/10/2024 of the Court of Appeal of Salerno,</w:t>
      </w:r>
    </w:p>
    <w:p w14:paraId="603A4C1B" w14:textId="77777777" w:rsidR="00E37CB1" w:rsidRDefault="00376DC4" w:rsidP="00E37CB1">
      <w:pPr>
        <w:spacing w:line="480" w:lineRule="atLeast"/>
        <w:jc w:val="both"/>
        <w:rPr>
          <w:rFonts w:ascii="Verdana" w:hAnsi="Verdana"/>
          <w:sz w:val="20"/>
          <w:szCs w:val="20"/>
        </w:rPr>
      </w:pPr>
      <w:r w:rsidRPr="00376DC4">
        <w:rPr>
          <w:rFonts w:ascii="Verdana" w:hAnsi="Verdana"/>
          <w:sz w:val="20"/>
          <w:szCs w:val="20"/>
        </w:rPr>
        <w:br/>
        <w:t>having examined the acts, the challenged decision and the appeal;</w:t>
      </w:r>
    </w:p>
    <w:p w14:paraId="6C89559D" w14:textId="6989A2E0" w:rsidR="00E37CB1" w:rsidRDefault="00376DC4" w:rsidP="00E37CB1">
      <w:pPr>
        <w:spacing w:line="480" w:lineRule="atLeast"/>
        <w:jc w:val="both"/>
        <w:rPr>
          <w:rFonts w:ascii="Verdana" w:hAnsi="Verdana"/>
          <w:sz w:val="20"/>
          <w:szCs w:val="20"/>
        </w:rPr>
      </w:pPr>
      <w:r w:rsidRPr="00376DC4">
        <w:rPr>
          <w:rFonts w:ascii="Verdana" w:hAnsi="Verdana"/>
          <w:sz w:val="20"/>
          <w:szCs w:val="20"/>
        </w:rPr>
        <w:t xml:space="preserve">having heard the report by Judge Ubalda </w:t>
      </w:r>
      <w:proofErr w:type="spellStart"/>
      <w:r w:rsidRPr="00376DC4">
        <w:rPr>
          <w:rFonts w:ascii="Verdana" w:hAnsi="Verdana"/>
          <w:sz w:val="20"/>
          <w:szCs w:val="20"/>
        </w:rPr>
        <w:t>Macrì;</w:t>
      </w:r>
      <w:proofErr w:type="spellEnd"/>
    </w:p>
    <w:p w14:paraId="43D5E59E" w14:textId="5F5C21CB" w:rsidR="00376DC4" w:rsidRPr="00376DC4" w:rsidRDefault="00376DC4" w:rsidP="00E37CB1">
      <w:pPr>
        <w:spacing w:line="480" w:lineRule="atLeast"/>
        <w:jc w:val="both"/>
        <w:rPr>
          <w:rFonts w:ascii="Verdana" w:hAnsi="Verdana"/>
          <w:sz w:val="20"/>
          <w:szCs w:val="20"/>
        </w:rPr>
      </w:pPr>
      <w:r w:rsidRPr="00376DC4">
        <w:rPr>
          <w:rFonts w:ascii="Verdana" w:hAnsi="Verdana"/>
          <w:sz w:val="20"/>
          <w:szCs w:val="20"/>
        </w:rPr>
        <w:t>having read the submissions of the Public Prosecutor, represented by Deputy Prosecutor General Raffaele Piccirillo, who requested the annulment with referral of the challenged decision.</w:t>
      </w:r>
    </w:p>
    <w:p w14:paraId="7FD6B529" w14:textId="77777777" w:rsidR="00376DC4" w:rsidRPr="00376DC4" w:rsidRDefault="00376DC4" w:rsidP="00376DC4">
      <w:pPr>
        <w:spacing w:line="480" w:lineRule="atLeast"/>
        <w:jc w:val="both"/>
        <w:rPr>
          <w:rFonts w:ascii="Verdana" w:hAnsi="Verdana"/>
          <w:sz w:val="20"/>
          <w:szCs w:val="20"/>
        </w:rPr>
      </w:pPr>
      <w:r w:rsidRPr="00376DC4">
        <w:rPr>
          <w:rFonts w:ascii="Verdana" w:hAnsi="Verdana"/>
          <w:b/>
          <w:bCs/>
          <w:sz w:val="20"/>
          <w:szCs w:val="20"/>
        </w:rPr>
        <w:t>FACTS</w:t>
      </w:r>
    </w:p>
    <w:p w14:paraId="6AF0F322" w14:textId="0D256055" w:rsidR="00376DC4" w:rsidRPr="00376DC4" w:rsidRDefault="00376DC4" w:rsidP="00376DC4">
      <w:pPr>
        <w:numPr>
          <w:ilvl w:val="0"/>
          <w:numId w:val="1"/>
        </w:numPr>
        <w:spacing w:line="480" w:lineRule="atLeast"/>
        <w:jc w:val="both"/>
        <w:rPr>
          <w:rFonts w:ascii="Verdana" w:hAnsi="Verdana"/>
          <w:sz w:val="20"/>
          <w:szCs w:val="20"/>
        </w:rPr>
      </w:pPr>
      <w:r w:rsidRPr="00376DC4">
        <w:rPr>
          <w:rFonts w:ascii="Verdana" w:hAnsi="Verdana"/>
          <w:sz w:val="20"/>
          <w:szCs w:val="20"/>
        </w:rPr>
        <w:t>By judgment dated 15 October 2024, the Court of Appeal of Salerno, reversing the acquittal of 15 December 2023 by the Court of Salerno, convicted the defendant of the offence under Article 517 of the Criminal Code, for selling wood pellet bags whose packaging prominently displayed the Swedish flag and the words “Swedish Pellet”, as well as indicating Latvia as the country of distribution</w:t>
      </w:r>
      <w:r w:rsidR="00E37CB1">
        <w:rPr>
          <w:rFonts w:ascii="Verdana" w:hAnsi="Verdana"/>
          <w:sz w:val="20"/>
          <w:szCs w:val="20"/>
        </w:rPr>
        <w:t xml:space="preserve">, </w:t>
      </w:r>
      <w:r w:rsidRPr="00376DC4">
        <w:rPr>
          <w:rFonts w:ascii="Verdana" w:hAnsi="Verdana"/>
          <w:sz w:val="20"/>
          <w:szCs w:val="20"/>
        </w:rPr>
        <w:t>misleading statements likely to deceive the consumer as to the actual origin and provenance of the pellets.</w:t>
      </w:r>
    </w:p>
    <w:p w14:paraId="6EC888F9" w14:textId="77777777" w:rsidR="00E37CB1" w:rsidRDefault="00376DC4" w:rsidP="00376DC4">
      <w:pPr>
        <w:numPr>
          <w:ilvl w:val="0"/>
          <w:numId w:val="1"/>
        </w:numPr>
        <w:spacing w:line="480" w:lineRule="atLeast"/>
        <w:jc w:val="both"/>
        <w:rPr>
          <w:rFonts w:ascii="Verdana" w:hAnsi="Verdana"/>
          <w:sz w:val="20"/>
          <w:szCs w:val="20"/>
        </w:rPr>
      </w:pPr>
      <w:r w:rsidRPr="00376DC4">
        <w:rPr>
          <w:rFonts w:ascii="Verdana" w:hAnsi="Verdana"/>
          <w:sz w:val="20"/>
          <w:szCs w:val="20"/>
        </w:rPr>
        <w:t>R. appealed to the Supreme Court on four grounds.</w:t>
      </w:r>
    </w:p>
    <w:p w14:paraId="4EE3A46A" w14:textId="77777777" w:rsidR="00E37CB1" w:rsidRDefault="00376DC4" w:rsidP="00E37CB1">
      <w:pPr>
        <w:spacing w:line="480" w:lineRule="atLeast"/>
        <w:ind w:left="720"/>
        <w:jc w:val="both"/>
        <w:rPr>
          <w:rFonts w:ascii="Verdana" w:hAnsi="Verdana"/>
          <w:sz w:val="20"/>
          <w:szCs w:val="20"/>
        </w:rPr>
      </w:pPr>
      <w:r w:rsidRPr="00376DC4">
        <w:rPr>
          <w:rFonts w:ascii="Verdana" w:hAnsi="Verdana"/>
          <w:sz w:val="20"/>
          <w:szCs w:val="20"/>
        </w:rPr>
        <w:t>With the first, she alleged a violation of law, arguing that the expression “Swedish Pellet” did not refer to the origin of the pellets but was the name of the trademark marketed by SIA BALTIC Wood Trade, a Latvian company distributing a Ukrainian company’s product. Therefore, there was no omission or falsification regarding the origin, provenance, or marketing of the pellet bags.</w:t>
      </w:r>
    </w:p>
    <w:p w14:paraId="43884513" w14:textId="77777777" w:rsidR="00E37CB1" w:rsidRDefault="00376DC4" w:rsidP="00E37CB1">
      <w:pPr>
        <w:spacing w:line="480" w:lineRule="atLeast"/>
        <w:ind w:left="720"/>
        <w:jc w:val="both"/>
        <w:rPr>
          <w:rFonts w:ascii="Verdana" w:hAnsi="Verdana"/>
          <w:sz w:val="20"/>
          <w:szCs w:val="20"/>
        </w:rPr>
      </w:pPr>
      <w:r w:rsidRPr="00376DC4">
        <w:rPr>
          <w:rFonts w:ascii="Verdana" w:hAnsi="Verdana"/>
          <w:sz w:val="20"/>
          <w:szCs w:val="20"/>
        </w:rPr>
        <w:t>With the second, she alleged a violation of law and incorrect application of Article 4, paragraph 49-bis, of Law no. 350 of 2003, arguing that the only irregularity was the failure to indicate that the goods were from outside the EU.</w:t>
      </w:r>
    </w:p>
    <w:p w14:paraId="0DB87893" w14:textId="77777777" w:rsidR="00E37CB1" w:rsidRDefault="00376DC4" w:rsidP="00E37CB1">
      <w:pPr>
        <w:spacing w:line="480" w:lineRule="atLeast"/>
        <w:ind w:left="720"/>
        <w:jc w:val="both"/>
        <w:rPr>
          <w:rFonts w:ascii="Verdana" w:hAnsi="Verdana"/>
          <w:sz w:val="20"/>
          <w:szCs w:val="20"/>
        </w:rPr>
      </w:pPr>
      <w:r w:rsidRPr="00376DC4">
        <w:rPr>
          <w:rFonts w:ascii="Verdana" w:hAnsi="Verdana"/>
          <w:sz w:val="20"/>
          <w:szCs w:val="20"/>
        </w:rPr>
        <w:t>With the third, she complained of the failure to address the specific request for the application of Article 131-bis of the Criminal Code.</w:t>
      </w:r>
    </w:p>
    <w:p w14:paraId="38AC4854" w14:textId="60ADFC64" w:rsidR="00376DC4" w:rsidRPr="00376DC4" w:rsidRDefault="00376DC4" w:rsidP="00E37CB1">
      <w:pPr>
        <w:spacing w:line="480" w:lineRule="atLeast"/>
        <w:ind w:left="720"/>
        <w:jc w:val="both"/>
        <w:rPr>
          <w:rFonts w:ascii="Verdana" w:hAnsi="Verdana"/>
          <w:sz w:val="20"/>
          <w:szCs w:val="20"/>
        </w:rPr>
      </w:pPr>
      <w:r w:rsidRPr="00376DC4">
        <w:rPr>
          <w:rFonts w:ascii="Verdana" w:hAnsi="Verdana"/>
          <w:sz w:val="20"/>
          <w:szCs w:val="20"/>
        </w:rPr>
        <w:t>With the fourth, she challenged the reasoning regarding the deceptive capacity of the statements on the bags.</w:t>
      </w:r>
    </w:p>
    <w:p w14:paraId="445F846C" w14:textId="77777777" w:rsidR="00376DC4" w:rsidRPr="00376DC4" w:rsidRDefault="00376DC4" w:rsidP="00376DC4">
      <w:pPr>
        <w:spacing w:line="480" w:lineRule="atLeast"/>
        <w:jc w:val="both"/>
        <w:rPr>
          <w:rFonts w:ascii="Verdana" w:hAnsi="Verdana"/>
          <w:sz w:val="20"/>
          <w:szCs w:val="20"/>
        </w:rPr>
      </w:pPr>
      <w:r w:rsidRPr="00376DC4">
        <w:rPr>
          <w:rFonts w:ascii="Verdana" w:hAnsi="Verdana"/>
          <w:b/>
          <w:bCs/>
          <w:sz w:val="20"/>
          <w:szCs w:val="20"/>
        </w:rPr>
        <w:t>LEGAL REASONS</w:t>
      </w:r>
    </w:p>
    <w:p w14:paraId="1F680F22" w14:textId="77777777" w:rsidR="00376DC4" w:rsidRPr="00376DC4" w:rsidRDefault="00376DC4" w:rsidP="00376DC4">
      <w:pPr>
        <w:numPr>
          <w:ilvl w:val="0"/>
          <w:numId w:val="2"/>
        </w:numPr>
        <w:spacing w:line="480" w:lineRule="atLeast"/>
        <w:jc w:val="both"/>
        <w:rPr>
          <w:rFonts w:ascii="Verdana" w:hAnsi="Verdana"/>
          <w:sz w:val="20"/>
          <w:szCs w:val="20"/>
        </w:rPr>
      </w:pPr>
      <w:r w:rsidRPr="00376DC4">
        <w:rPr>
          <w:rFonts w:ascii="Verdana" w:hAnsi="Verdana"/>
          <w:sz w:val="20"/>
          <w:szCs w:val="20"/>
        </w:rPr>
        <w:t>The appeal is unfounded.</w:t>
      </w:r>
    </w:p>
    <w:p w14:paraId="62BFDA32" w14:textId="77777777" w:rsidR="00E37CB1" w:rsidRDefault="00376DC4" w:rsidP="00E37CB1">
      <w:pPr>
        <w:spacing w:line="480" w:lineRule="atLeast"/>
        <w:jc w:val="both"/>
        <w:rPr>
          <w:rFonts w:ascii="Verdana" w:hAnsi="Verdana"/>
          <w:sz w:val="20"/>
          <w:szCs w:val="20"/>
        </w:rPr>
      </w:pPr>
      <w:r w:rsidRPr="00376DC4">
        <w:rPr>
          <w:rFonts w:ascii="Verdana" w:hAnsi="Verdana"/>
          <w:sz w:val="20"/>
          <w:szCs w:val="20"/>
        </w:rPr>
        <w:t>3.1. The appellant marketed in Italy wood pellet bags with the words “Swedish pellet” and the Swedish flag, but distributed by a Latvian company (mentioned on the back) and produced by a Ukrainian company (not mentioned anywhere).</w:t>
      </w:r>
      <w:r w:rsidR="00E37CB1">
        <w:rPr>
          <w:rFonts w:ascii="Verdana" w:hAnsi="Verdana"/>
          <w:sz w:val="20"/>
          <w:szCs w:val="20"/>
        </w:rPr>
        <w:t xml:space="preserve"> </w:t>
      </w:r>
    </w:p>
    <w:p w14:paraId="6F0B6B11" w14:textId="35824C8F" w:rsidR="00E37CB1" w:rsidRDefault="00376DC4" w:rsidP="00E37CB1">
      <w:pPr>
        <w:spacing w:line="480" w:lineRule="atLeast"/>
        <w:jc w:val="both"/>
        <w:rPr>
          <w:rFonts w:ascii="Verdana" w:hAnsi="Verdana"/>
          <w:sz w:val="20"/>
          <w:szCs w:val="20"/>
        </w:rPr>
      </w:pPr>
      <w:r w:rsidRPr="00376DC4">
        <w:rPr>
          <w:rFonts w:ascii="Verdana" w:hAnsi="Verdana"/>
          <w:sz w:val="20"/>
          <w:szCs w:val="20"/>
        </w:rPr>
        <w:t>The goods were stopped at customs, and the appellant, to remove the block, had to regularise the labelling regarding production, by indicating “made extra EU”.</w:t>
      </w:r>
    </w:p>
    <w:p w14:paraId="76195467" w14:textId="1D660CF2" w:rsidR="00376DC4" w:rsidRPr="00376DC4" w:rsidRDefault="00376DC4" w:rsidP="00376DC4">
      <w:pPr>
        <w:spacing w:line="480" w:lineRule="atLeast"/>
        <w:jc w:val="both"/>
        <w:rPr>
          <w:rFonts w:ascii="Verdana" w:hAnsi="Verdana"/>
          <w:sz w:val="20"/>
          <w:szCs w:val="20"/>
        </w:rPr>
      </w:pPr>
      <w:r w:rsidRPr="00376DC4">
        <w:rPr>
          <w:rFonts w:ascii="Verdana" w:hAnsi="Verdana"/>
          <w:sz w:val="20"/>
          <w:szCs w:val="20"/>
        </w:rPr>
        <w:t>The Court of first instance accepted the defence’s argument that “Swedish pellet” was a trademark and did not indicate the origin of the goods, and acquitted the defendant. The Court of Appeal, however, on the Public Prosecutor’s appeal, convicted the defendant under Article 517 of the Criminal Code, because the words “Swedish pellet”, together with the image of the Swedish flag, far from identifying the brand of the pellets, were intended, in the absence of any further indication as to the origin or provenance of the pellets, to mislead the consumer and lead them to believe that the products came from Sweden. Furthermore, the bags were distributed by a Latvian company but produced in Ukraine, and the “made extra EU” label was only subsequently affixed.</w:t>
      </w:r>
    </w:p>
    <w:p w14:paraId="3F3864AB" w14:textId="77777777" w:rsidR="00E37CB1" w:rsidRDefault="00376DC4" w:rsidP="00376DC4">
      <w:pPr>
        <w:spacing w:line="480" w:lineRule="atLeast"/>
        <w:jc w:val="both"/>
        <w:rPr>
          <w:rFonts w:ascii="Verdana" w:hAnsi="Verdana"/>
          <w:sz w:val="20"/>
          <w:szCs w:val="20"/>
        </w:rPr>
      </w:pPr>
      <w:r w:rsidRPr="00376DC4">
        <w:rPr>
          <w:rFonts w:ascii="Verdana" w:hAnsi="Verdana"/>
          <w:sz w:val="20"/>
          <w:szCs w:val="20"/>
        </w:rPr>
        <w:t>3.2. The appellant argued in the first two grounds that she had not committed any offence and had remedied the administrative irregularity in the labelling.</w:t>
      </w:r>
    </w:p>
    <w:p w14:paraId="44C7F771" w14:textId="4E58B0A3" w:rsidR="00376DC4" w:rsidRPr="00376DC4" w:rsidRDefault="00376DC4" w:rsidP="00E37CB1">
      <w:pPr>
        <w:spacing w:line="480" w:lineRule="atLeast"/>
        <w:jc w:val="both"/>
        <w:rPr>
          <w:rFonts w:ascii="Verdana" w:hAnsi="Verdana"/>
          <w:sz w:val="20"/>
          <w:szCs w:val="20"/>
        </w:rPr>
      </w:pPr>
      <w:r w:rsidRPr="00376DC4">
        <w:rPr>
          <w:rFonts w:ascii="Verdana" w:hAnsi="Verdana"/>
          <w:sz w:val="20"/>
          <w:szCs w:val="20"/>
        </w:rPr>
        <w:t>For a better understanding of the legal issue underlying the case, it should be recalled that Article 517 of the Criminal Code punishes, subsidiarily, among others, anyone who sells or otherwise circulates industrial products with names, trademarks, or distinctive signs—national or foreign—likely to mislead the buyer as to the origin, provenance, or quality of the product, and this is regardless of whether the sign is a registered trademark, which is protected by Articles 473 and 474 of the Criminal Code.</w:t>
      </w:r>
      <w:r w:rsidR="00E37CB1">
        <w:rPr>
          <w:rFonts w:ascii="Verdana" w:hAnsi="Verdana"/>
          <w:sz w:val="20"/>
          <w:szCs w:val="20"/>
        </w:rPr>
        <w:t xml:space="preserve"> </w:t>
      </w:r>
      <w:r w:rsidRPr="00376DC4">
        <w:rPr>
          <w:rFonts w:ascii="Verdana" w:hAnsi="Verdana"/>
          <w:sz w:val="20"/>
          <w:szCs w:val="20"/>
        </w:rPr>
        <w:t>It is well established in case law that the rule protects the economic order, because those who circulate products with misleading signs harm the general interest in fair commercial exchanges (see, among others, Cass. 3, no. 2003 of 13/11/2007, dep. 2008, Marzullo, Rv. 238557), while those who deliver an “</w:t>
      </w:r>
      <w:proofErr w:type="spellStart"/>
      <w:r w:rsidRPr="00376DC4">
        <w:rPr>
          <w:rFonts w:ascii="Verdana" w:hAnsi="Verdana"/>
          <w:sz w:val="20"/>
          <w:szCs w:val="20"/>
        </w:rPr>
        <w:t>aliud</w:t>
      </w:r>
      <w:proofErr w:type="spellEnd"/>
      <w:r w:rsidRPr="00376DC4">
        <w:rPr>
          <w:rFonts w:ascii="Verdana" w:hAnsi="Verdana"/>
          <w:sz w:val="20"/>
          <w:szCs w:val="20"/>
        </w:rPr>
        <w:t xml:space="preserve"> pro </w:t>
      </w:r>
      <w:proofErr w:type="spellStart"/>
      <w:r w:rsidRPr="00376DC4">
        <w:rPr>
          <w:rFonts w:ascii="Verdana" w:hAnsi="Verdana"/>
          <w:sz w:val="20"/>
          <w:szCs w:val="20"/>
        </w:rPr>
        <w:t>alio</w:t>
      </w:r>
      <w:proofErr w:type="spellEnd"/>
      <w:r w:rsidRPr="00376DC4">
        <w:rPr>
          <w:rFonts w:ascii="Verdana" w:hAnsi="Verdana"/>
          <w:sz w:val="20"/>
          <w:szCs w:val="20"/>
        </w:rPr>
        <w:t>” under Article 515 of the Criminal Code directly harm the consumer who suffers the commercial fraud (Cass. 3, no. 43192 of 09/10/2008, Martelli, Rv. 241535-01).</w:t>
      </w:r>
      <w:r w:rsidR="00E37CB1">
        <w:rPr>
          <w:rFonts w:ascii="Verdana" w:hAnsi="Verdana"/>
          <w:sz w:val="20"/>
          <w:szCs w:val="20"/>
        </w:rPr>
        <w:t xml:space="preserve"> </w:t>
      </w:r>
      <w:r w:rsidRPr="00376DC4">
        <w:rPr>
          <w:rFonts w:ascii="Verdana" w:hAnsi="Verdana"/>
          <w:sz w:val="20"/>
          <w:szCs w:val="20"/>
        </w:rPr>
        <w:t>This means that, in the latter case, delivery of the goods is necessary, while in the former it is not (see Cass. 3, no. 32388 of 15/09/2020, Weng, Rv. 280284-01, and others).</w:t>
      </w:r>
      <w:r w:rsidR="00E37CB1">
        <w:rPr>
          <w:rFonts w:ascii="Verdana" w:hAnsi="Verdana"/>
          <w:sz w:val="20"/>
          <w:szCs w:val="20"/>
        </w:rPr>
        <w:t xml:space="preserve"> </w:t>
      </w:r>
      <w:r w:rsidRPr="00376DC4">
        <w:rPr>
          <w:rFonts w:ascii="Verdana" w:hAnsi="Verdana"/>
          <w:sz w:val="20"/>
          <w:szCs w:val="20"/>
        </w:rPr>
        <w:t xml:space="preserve">The appellant did not raise in this case the interpretative issues that have previously troubled the case law regarding </w:t>
      </w:r>
      <w:r w:rsidR="00E37CB1">
        <w:rPr>
          <w:rFonts w:ascii="Verdana" w:hAnsi="Verdana"/>
          <w:sz w:val="20"/>
          <w:szCs w:val="20"/>
        </w:rPr>
        <w:t xml:space="preserve">the interpretation of </w:t>
      </w:r>
      <w:r w:rsidRPr="00376DC4">
        <w:rPr>
          <w:rFonts w:ascii="Verdana" w:hAnsi="Verdana"/>
          <w:sz w:val="20"/>
          <w:szCs w:val="20"/>
        </w:rPr>
        <w:t>the notion of circulation, but raised the issue of misleading signs and their capacity to deceive the consumer.</w:t>
      </w:r>
    </w:p>
    <w:p w14:paraId="37E96219" w14:textId="77777777" w:rsidR="00E37CB1" w:rsidRDefault="00376DC4" w:rsidP="00E37CB1">
      <w:pPr>
        <w:spacing w:line="480" w:lineRule="atLeast"/>
        <w:jc w:val="both"/>
        <w:rPr>
          <w:rFonts w:ascii="Verdana" w:hAnsi="Verdana"/>
          <w:sz w:val="20"/>
          <w:szCs w:val="20"/>
        </w:rPr>
      </w:pPr>
      <w:r w:rsidRPr="00376DC4">
        <w:rPr>
          <w:rFonts w:ascii="Verdana" w:hAnsi="Verdana"/>
          <w:sz w:val="20"/>
          <w:szCs w:val="20"/>
        </w:rPr>
        <w:t>3.3. In his submissions, the Deputy Prosecutor General requested the annulment with referral of the challenged decision, as it was based on an interpretation of the concept of provenance that differed from that established by the Supreme Court’s case law.</w:t>
      </w:r>
      <w:r w:rsidRPr="00376DC4">
        <w:rPr>
          <w:rFonts w:ascii="Verdana" w:hAnsi="Verdana"/>
          <w:sz w:val="20"/>
          <w:szCs w:val="20"/>
        </w:rPr>
        <w:br/>
        <w:t>This issue, although not raised by the defence, is central as it concerns the very existence of the offence.</w:t>
      </w:r>
      <w:r w:rsidRPr="00376DC4">
        <w:rPr>
          <w:rFonts w:ascii="Verdana" w:hAnsi="Verdana"/>
          <w:sz w:val="20"/>
          <w:szCs w:val="20"/>
        </w:rPr>
        <w:br/>
        <w:t xml:space="preserve">According to the established position of this </w:t>
      </w:r>
      <w:r w:rsidR="00E37CB1">
        <w:rPr>
          <w:rFonts w:ascii="Verdana" w:hAnsi="Verdana"/>
          <w:sz w:val="20"/>
          <w:szCs w:val="20"/>
        </w:rPr>
        <w:t>Division</w:t>
      </w:r>
      <w:r w:rsidRPr="00376DC4">
        <w:rPr>
          <w:rFonts w:ascii="Verdana" w:hAnsi="Verdana"/>
          <w:sz w:val="20"/>
          <w:szCs w:val="20"/>
        </w:rPr>
        <w:t>, the provenance protected by the rule—except in certain cases expressly provided by law—is legal, not geographical, because in a globalised context where entrepreneurs outsource production and entrust third-party subcontractors with the actual manufacture of a given good, what matters is that the good is attributable to the entrepreneur who has assumed legal, economic, and technical responsibility for the production process.</w:t>
      </w:r>
      <w:r w:rsidR="00E37CB1">
        <w:rPr>
          <w:rFonts w:ascii="Verdana" w:hAnsi="Verdana"/>
          <w:sz w:val="20"/>
          <w:szCs w:val="20"/>
        </w:rPr>
        <w:t xml:space="preserve"> </w:t>
      </w:r>
      <w:r w:rsidRPr="00376DC4">
        <w:rPr>
          <w:rFonts w:ascii="Verdana" w:hAnsi="Verdana"/>
          <w:sz w:val="20"/>
          <w:szCs w:val="20"/>
        </w:rPr>
        <w:t>Therefore, even an incorrect or imprecise indication of the geographical place of production does not constitute deception as to one of the specific aspects considered by Article 517. The origin of the product is exclusively legal, and the material provenance of the good is irrelevant. The origin and provenance are, in fact, functional to the quality of the work or product, guaranteed</w:t>
      </w:r>
      <w:r w:rsidR="00E37CB1">
        <w:rPr>
          <w:rFonts w:ascii="Verdana" w:hAnsi="Verdana"/>
          <w:sz w:val="20"/>
          <w:szCs w:val="20"/>
        </w:rPr>
        <w:t xml:space="preserve"> precisely</w:t>
      </w:r>
      <w:r w:rsidRPr="00376DC4">
        <w:rPr>
          <w:rFonts w:ascii="Verdana" w:hAnsi="Verdana"/>
          <w:sz w:val="20"/>
          <w:szCs w:val="20"/>
        </w:rPr>
        <w:t xml:space="preserve"> by the entrepreneur who has affixed </w:t>
      </w:r>
      <w:r w:rsidR="00E37CB1">
        <w:rPr>
          <w:rFonts w:ascii="Verdana" w:hAnsi="Verdana"/>
          <w:sz w:val="20"/>
          <w:szCs w:val="20"/>
        </w:rPr>
        <w:t>its</w:t>
      </w:r>
      <w:r w:rsidRPr="00376DC4">
        <w:rPr>
          <w:rFonts w:ascii="Verdana" w:hAnsi="Verdana"/>
          <w:sz w:val="20"/>
          <w:szCs w:val="20"/>
        </w:rPr>
        <w:t xml:space="preserve"> distinctive signs and assumed responsibility for the work performed (see Cass. 3, no. 24043 of 02/03/2006, Dewar, Rv. 234468-01; Cass. 3, no. 2500 of 07/07/1999, Thum, Rv. 214438-01; Cass. 6, no. 4781 of 29/01/1979, </w:t>
      </w:r>
      <w:proofErr w:type="spellStart"/>
      <w:r w:rsidRPr="00376DC4">
        <w:rPr>
          <w:rFonts w:ascii="Verdana" w:hAnsi="Verdana"/>
          <w:sz w:val="20"/>
          <w:szCs w:val="20"/>
        </w:rPr>
        <w:t>Vitaloni</w:t>
      </w:r>
      <w:proofErr w:type="spellEnd"/>
      <w:r w:rsidRPr="00376DC4">
        <w:rPr>
          <w:rFonts w:ascii="Verdana" w:hAnsi="Verdana"/>
          <w:sz w:val="20"/>
          <w:szCs w:val="20"/>
        </w:rPr>
        <w:t>, Rv. 089656-01).</w:t>
      </w:r>
    </w:p>
    <w:p w14:paraId="466C85FD" w14:textId="4984319D" w:rsidR="00376DC4" w:rsidRPr="00376DC4" w:rsidRDefault="00E37CB1" w:rsidP="00207CAC">
      <w:pPr>
        <w:spacing w:line="480" w:lineRule="atLeast"/>
        <w:jc w:val="both"/>
        <w:rPr>
          <w:rFonts w:ascii="Verdana" w:hAnsi="Verdana"/>
          <w:sz w:val="20"/>
          <w:szCs w:val="20"/>
        </w:rPr>
      </w:pPr>
      <w:r>
        <w:rPr>
          <w:rFonts w:ascii="Verdana" w:hAnsi="Verdana"/>
          <w:sz w:val="20"/>
          <w:szCs w:val="20"/>
        </w:rPr>
        <w:t>On the other hand</w:t>
      </w:r>
      <w:r w:rsidR="00376DC4" w:rsidRPr="00376DC4">
        <w:rPr>
          <w:rFonts w:ascii="Verdana" w:hAnsi="Verdana"/>
          <w:sz w:val="20"/>
          <w:szCs w:val="20"/>
        </w:rPr>
        <w:t xml:space="preserve">, the Deputy Prosecutor General continued, this is a case of a mark of origin, not Italian and not expressly protected, so </w:t>
      </w:r>
      <w:r w:rsidR="00207CAC" w:rsidRPr="00207CAC">
        <w:rPr>
          <w:rFonts w:ascii="Verdana" w:hAnsi="Verdana"/>
          <w:sz w:val="20"/>
          <w:szCs w:val="20"/>
        </w:rPr>
        <w:t>the provision of the article</w:t>
      </w:r>
      <w:r w:rsidR="00207CAC">
        <w:rPr>
          <w:rFonts w:ascii="Verdana" w:hAnsi="Verdana"/>
          <w:sz w:val="20"/>
          <w:szCs w:val="20"/>
        </w:rPr>
        <w:t xml:space="preserve"> </w:t>
      </w:r>
      <w:r w:rsidR="00207CAC" w:rsidRPr="00376DC4">
        <w:rPr>
          <w:rFonts w:ascii="Verdana" w:hAnsi="Verdana"/>
          <w:sz w:val="20"/>
          <w:szCs w:val="20"/>
        </w:rPr>
        <w:t>4, paragraphs 49 and 49-bis, of Law no. 350 of 2003</w:t>
      </w:r>
      <w:r w:rsidR="00207CAC" w:rsidRPr="00207CAC">
        <w:rPr>
          <w:rFonts w:ascii="Verdana" w:hAnsi="Verdana"/>
          <w:sz w:val="20"/>
          <w:szCs w:val="20"/>
        </w:rPr>
        <w:t>, which relates exclusively to the specific protection of the "Made in Italy" trademark, is not applicable, where a distinction is made between the misleading indication of the Italian origin of the product</w:t>
      </w:r>
      <w:r w:rsidR="00207CAC">
        <w:rPr>
          <w:rFonts w:ascii="Verdana" w:hAnsi="Verdana"/>
          <w:sz w:val="20"/>
          <w:szCs w:val="20"/>
        </w:rPr>
        <w:t xml:space="preserve">, </w:t>
      </w:r>
      <w:r w:rsidR="00207CAC" w:rsidRPr="00207CAC">
        <w:rPr>
          <w:rFonts w:ascii="Verdana" w:hAnsi="Verdana"/>
          <w:sz w:val="20"/>
          <w:szCs w:val="20"/>
        </w:rPr>
        <w:t>which retains criminal relevance in the cases expressly enumerated by the provision</w:t>
      </w:r>
      <w:r w:rsidR="00207CAC">
        <w:rPr>
          <w:rFonts w:ascii="Verdana" w:hAnsi="Verdana"/>
          <w:sz w:val="20"/>
          <w:szCs w:val="20"/>
        </w:rPr>
        <w:t xml:space="preserve">, </w:t>
      </w:r>
      <w:r w:rsidR="00207CAC" w:rsidRPr="00207CAC">
        <w:rPr>
          <w:rFonts w:ascii="Verdana" w:hAnsi="Verdana"/>
          <w:sz w:val="20"/>
          <w:szCs w:val="20"/>
        </w:rPr>
        <w:t>and the deceptive use of the trademark not accompanied by the exact indication of the origin of the good, which instead assumes purely administrative relevance</w:t>
      </w:r>
      <w:r w:rsidR="00376DC4" w:rsidRPr="00376DC4">
        <w:rPr>
          <w:rFonts w:ascii="Verdana" w:hAnsi="Verdana"/>
          <w:sz w:val="20"/>
          <w:szCs w:val="20"/>
        </w:rPr>
        <w:t xml:space="preserve"> (see, among others, Cass. 3, no. 54521 of 14/06/2016, </w:t>
      </w:r>
      <w:proofErr w:type="spellStart"/>
      <w:r w:rsidR="00376DC4" w:rsidRPr="00376DC4">
        <w:rPr>
          <w:rFonts w:ascii="Verdana" w:hAnsi="Verdana"/>
          <w:sz w:val="20"/>
          <w:szCs w:val="20"/>
        </w:rPr>
        <w:t>Pigini</w:t>
      </w:r>
      <w:proofErr w:type="spellEnd"/>
      <w:r w:rsidR="00376DC4" w:rsidRPr="00376DC4">
        <w:rPr>
          <w:rFonts w:ascii="Verdana" w:hAnsi="Verdana"/>
          <w:sz w:val="20"/>
          <w:szCs w:val="20"/>
        </w:rPr>
        <w:t>, Rv. 268716-01 and Cass. 3, no. 21256 of 05/02/2014, Uberti, Rv. 259721-01).</w:t>
      </w:r>
      <w:r w:rsidR="00207CAC">
        <w:rPr>
          <w:rFonts w:ascii="Verdana" w:hAnsi="Verdana"/>
          <w:sz w:val="20"/>
          <w:szCs w:val="20"/>
        </w:rPr>
        <w:t xml:space="preserve"> </w:t>
      </w:r>
      <w:r w:rsidR="00376DC4" w:rsidRPr="00376DC4">
        <w:rPr>
          <w:rFonts w:ascii="Verdana" w:hAnsi="Verdana"/>
          <w:sz w:val="20"/>
          <w:szCs w:val="20"/>
        </w:rPr>
        <w:t>Furthermore, no qualitative characteristics of the Ukrainian pellets were indicated as inferior to those of similar Swedish products, such as to make the mark in question misleading in the sense described above, nor was it decisive that Ukraine was not yet part of the EU.</w:t>
      </w:r>
    </w:p>
    <w:p w14:paraId="5D15B721" w14:textId="77777777" w:rsidR="00207CAC" w:rsidRDefault="00376DC4" w:rsidP="00376DC4">
      <w:pPr>
        <w:spacing w:line="480" w:lineRule="atLeast"/>
        <w:jc w:val="both"/>
        <w:rPr>
          <w:rFonts w:ascii="Verdana" w:hAnsi="Verdana"/>
          <w:sz w:val="20"/>
          <w:szCs w:val="20"/>
        </w:rPr>
      </w:pPr>
      <w:r w:rsidRPr="00376DC4">
        <w:rPr>
          <w:rFonts w:ascii="Verdana" w:hAnsi="Verdana"/>
          <w:sz w:val="20"/>
          <w:szCs w:val="20"/>
        </w:rPr>
        <w:t>3.4. The Court holds that the Court of Appeal correctly applied the principle of legal provenance (which coincides with geographical provenance) in a case that is entirely peculiar, where the mark itself consists of a geographical indication.</w:t>
      </w:r>
      <w:r w:rsidR="00207CAC">
        <w:rPr>
          <w:rFonts w:ascii="Verdana" w:hAnsi="Verdana"/>
          <w:sz w:val="20"/>
          <w:szCs w:val="20"/>
        </w:rPr>
        <w:t xml:space="preserve"> </w:t>
      </w:r>
    </w:p>
    <w:p w14:paraId="4C5D0FE1" w14:textId="41C668B3" w:rsidR="00376DC4" w:rsidRPr="00376DC4" w:rsidRDefault="00376DC4" w:rsidP="00207CAC">
      <w:pPr>
        <w:spacing w:line="480" w:lineRule="atLeast"/>
        <w:jc w:val="both"/>
        <w:rPr>
          <w:rFonts w:ascii="Verdana" w:hAnsi="Verdana"/>
          <w:sz w:val="20"/>
          <w:szCs w:val="20"/>
        </w:rPr>
      </w:pPr>
      <w:r w:rsidRPr="00376DC4">
        <w:rPr>
          <w:rFonts w:ascii="Verdana" w:hAnsi="Verdana"/>
          <w:sz w:val="20"/>
          <w:szCs w:val="20"/>
        </w:rPr>
        <w:t>The expression “Swedish pellet”, accompanied by the image of the Swedish flag, in the absence of any indication of the Ukrainian producer, is clearly evocative not only of a geographical provenance, but also of a legal provenance, because a reasonably diligent and prudent consumer (see Cass. civ., Sec. 1, no. 39764 of 13/12/2021, Rv. 663428-01) is misleadingly led to believe that the product comes from wood from Swedish forests, produced by an entrepreneur operating in Sweden, and reasonably relies on the quality standards and control procedures of the</w:t>
      </w:r>
      <w:r w:rsidR="00207CAC">
        <w:rPr>
          <w:rFonts w:ascii="Verdana" w:hAnsi="Verdana"/>
          <w:sz w:val="20"/>
          <w:szCs w:val="20"/>
        </w:rPr>
        <w:t xml:space="preserve"> </w:t>
      </w:r>
      <w:r w:rsidRPr="00376DC4">
        <w:rPr>
          <w:rFonts w:ascii="Verdana" w:hAnsi="Verdana"/>
          <w:sz w:val="20"/>
          <w:szCs w:val="20"/>
        </w:rPr>
        <w:t>European Union.</w:t>
      </w:r>
      <w:r w:rsidR="00207CAC">
        <w:rPr>
          <w:rFonts w:ascii="Verdana" w:hAnsi="Verdana"/>
          <w:sz w:val="20"/>
          <w:szCs w:val="20"/>
        </w:rPr>
        <w:t xml:space="preserve"> </w:t>
      </w:r>
      <w:r w:rsidRPr="00376DC4">
        <w:rPr>
          <w:rFonts w:ascii="Verdana" w:hAnsi="Verdana"/>
          <w:sz w:val="20"/>
          <w:szCs w:val="20"/>
        </w:rPr>
        <w:t>It has recently been reaffirmed that the registration of a sign as a trademark is invalid where it induces the public to believe erroneously that the product comes from a territory known for the excellent qualities of that product. In such cases, a market-distorting effect is produced, generated by the deception suffered by consumers—led to believe that the product offered to them comes from a certain geographical area and enjoys the qualities for which it is known—regardless of whether anyone holds an intellectual property right over the name of the geographical area, and in particular the person alleging the deceptiveness of the sign (see Cass. civ., Sec. 1, no. 18683 of 09/07/2024, Rv. 671673-02, which quashed the decision that had rejected a claim for damages for counterfeiting following the alleged invalidity of the registration of a sign as a trademark, brought by a well-known brewery against competing companies that had used the sign on products originating from an area other than Bohemia, where the claimant produced its product).</w:t>
      </w:r>
    </w:p>
    <w:p w14:paraId="293703D4" w14:textId="14759166" w:rsidR="00376DC4" w:rsidRPr="00376DC4" w:rsidRDefault="00376DC4" w:rsidP="00376DC4">
      <w:pPr>
        <w:spacing w:line="480" w:lineRule="atLeast"/>
        <w:jc w:val="both"/>
        <w:rPr>
          <w:rFonts w:ascii="Verdana" w:hAnsi="Verdana"/>
          <w:sz w:val="20"/>
          <w:szCs w:val="20"/>
        </w:rPr>
      </w:pPr>
      <w:r w:rsidRPr="00376DC4">
        <w:rPr>
          <w:rFonts w:ascii="Verdana" w:hAnsi="Verdana"/>
          <w:sz w:val="20"/>
          <w:szCs w:val="20"/>
        </w:rPr>
        <w:t>3.5. From the defence’s perspective, the absence of the “made extra EU” label is a mere irregularity. In reality, the omission of the place of manufacture should not be considered in isolation but in combination with the other misleading signs, as it contributed synergistically to creating a deceptive appearance for the consumer. Therefore, the first two grounds of appeal must be rejected.</w:t>
      </w:r>
      <w:r w:rsidR="00207CAC">
        <w:rPr>
          <w:rFonts w:ascii="Verdana" w:hAnsi="Verdana"/>
          <w:sz w:val="20"/>
          <w:szCs w:val="20"/>
        </w:rPr>
        <w:t xml:space="preserve"> </w:t>
      </w:r>
      <w:r w:rsidRPr="00376DC4">
        <w:rPr>
          <w:rFonts w:ascii="Verdana" w:hAnsi="Verdana"/>
          <w:sz w:val="20"/>
          <w:szCs w:val="20"/>
        </w:rPr>
        <w:t>It is also irrelevant that it was not shown that the Ukrainian product was of lower quality than the Swedish one, as claimed by the appellant in the fourth ground and as argued by the Deputy Prosecutor General, because what is decisive and protected by the rule is that the consumer was induced to prefer one product over another, misled by the combination of signs regarding the origin, provenance, and quality of the product, thereby distorting free market competition. The fourth ground must also be rejected.</w:t>
      </w:r>
    </w:p>
    <w:p w14:paraId="3E9AB4BB" w14:textId="77777777" w:rsidR="00376DC4" w:rsidRPr="00376DC4" w:rsidRDefault="00376DC4" w:rsidP="00376DC4">
      <w:pPr>
        <w:spacing w:line="480" w:lineRule="atLeast"/>
        <w:jc w:val="both"/>
        <w:rPr>
          <w:rFonts w:ascii="Verdana" w:hAnsi="Verdana"/>
          <w:sz w:val="20"/>
          <w:szCs w:val="20"/>
        </w:rPr>
      </w:pPr>
      <w:r w:rsidRPr="00376DC4">
        <w:rPr>
          <w:rFonts w:ascii="Verdana" w:hAnsi="Verdana"/>
          <w:sz w:val="20"/>
          <w:szCs w:val="20"/>
        </w:rPr>
        <w:t xml:space="preserve">3.6. In conclusion, the offence under Article 517 of the Criminal Code is clearly made out in this case, because the signs affixed to the pellet bags converge in indicating a false geographical origin of manufacture, which is in itself sufficient to mislead as to the origin of the product (see Cass. 3, no. 166 of 28/09/2007, dep. 2008, </w:t>
      </w:r>
      <w:proofErr w:type="spellStart"/>
      <w:r w:rsidRPr="00376DC4">
        <w:rPr>
          <w:rFonts w:ascii="Verdana" w:hAnsi="Verdana"/>
          <w:sz w:val="20"/>
          <w:szCs w:val="20"/>
        </w:rPr>
        <w:t>Parentini</w:t>
      </w:r>
      <w:proofErr w:type="spellEnd"/>
      <w:r w:rsidRPr="00376DC4">
        <w:rPr>
          <w:rFonts w:ascii="Verdana" w:hAnsi="Verdana"/>
          <w:sz w:val="20"/>
          <w:szCs w:val="20"/>
        </w:rPr>
        <w:t xml:space="preserve">, Rv. 238560-01; see also Cass. 3, no. 19746 of 09/02/2010, </w:t>
      </w:r>
      <w:proofErr w:type="spellStart"/>
      <w:r w:rsidRPr="00376DC4">
        <w:rPr>
          <w:rFonts w:ascii="Verdana" w:hAnsi="Verdana"/>
          <w:sz w:val="20"/>
          <w:szCs w:val="20"/>
        </w:rPr>
        <w:t>Follieri</w:t>
      </w:r>
      <w:proofErr w:type="spellEnd"/>
      <w:r w:rsidRPr="00376DC4">
        <w:rPr>
          <w:rFonts w:ascii="Verdana" w:hAnsi="Verdana"/>
          <w:sz w:val="20"/>
          <w:szCs w:val="20"/>
        </w:rPr>
        <w:t>, Rv. 247485-01, according to which an entrepreneur who affixes to a product, in addition to their own trademark or the indication of the place where they are based, a false or misleading statement that the product was made in Italy or in a country other than the actual country of manufacture is liable, in the first case, for the offence under Article 4, paragraph 49, of Law no. 350 of 24 December 2003, and in the second, for the offence under Article 517 of the Criminal Code).</w:t>
      </w:r>
    </w:p>
    <w:p w14:paraId="5014462B" w14:textId="25BB2BFA" w:rsidR="00376DC4" w:rsidRPr="00376DC4" w:rsidRDefault="00376DC4" w:rsidP="00E86332">
      <w:pPr>
        <w:spacing w:line="480" w:lineRule="atLeast"/>
        <w:jc w:val="both"/>
        <w:rPr>
          <w:rFonts w:ascii="Verdana" w:hAnsi="Verdana"/>
          <w:sz w:val="20"/>
          <w:szCs w:val="20"/>
        </w:rPr>
      </w:pPr>
      <w:r w:rsidRPr="00376DC4">
        <w:rPr>
          <w:rFonts w:ascii="Verdana" w:hAnsi="Verdana"/>
          <w:sz w:val="20"/>
          <w:szCs w:val="20"/>
        </w:rPr>
        <w:t xml:space="preserve">3.7. As for the third ground, it is true that the Court of Appeal did not respond to the request for the application of the </w:t>
      </w:r>
      <w:r w:rsidR="00E86332" w:rsidRPr="00E86332">
        <w:rPr>
          <w:rFonts w:ascii="Verdana" w:hAnsi="Verdana"/>
          <w:sz w:val="20"/>
          <w:szCs w:val="20"/>
        </w:rPr>
        <w:t>cause for dismissal</w:t>
      </w:r>
      <w:r w:rsidR="00E86332">
        <w:rPr>
          <w:rFonts w:ascii="Verdana" w:hAnsi="Verdana"/>
          <w:sz w:val="20"/>
          <w:szCs w:val="20"/>
        </w:rPr>
        <w:t xml:space="preserve"> </w:t>
      </w:r>
      <w:r w:rsidRPr="00376DC4">
        <w:rPr>
          <w:rFonts w:ascii="Verdana" w:hAnsi="Verdana"/>
          <w:sz w:val="20"/>
          <w:szCs w:val="20"/>
        </w:rPr>
        <w:t xml:space="preserve">under Article 131-bis of the Criminal Code, but case law has clarified that it is sufficient for the judge to indicate the decisive evidentiary elements for the formation of their conviction, so as to allow the identification of the logical-legal reasoning that led to the adopted solution. Silence on a specific argument raised on appeal is irrelevant if it is implicitly rejected by the overall reasoning, as it is not necessary to explicitly refute each specific defence argument, but it is sufficient to reconstruct the facts in a way that implicitly rejects such arguments, leaving no room for a valid alternative (see Cass. 3, no. 3239 of 04/10/2022, dep. 2023, T., Rv. 284061-01). In this case, it is clear that the Court of Appeal excluded the </w:t>
      </w:r>
      <w:r w:rsidR="00E86332" w:rsidRPr="00E86332">
        <w:rPr>
          <w:rFonts w:ascii="Verdana" w:hAnsi="Verdana"/>
          <w:sz w:val="20"/>
          <w:szCs w:val="20"/>
        </w:rPr>
        <w:t>cause for dismissal</w:t>
      </w:r>
      <w:r w:rsidR="00E86332">
        <w:rPr>
          <w:rFonts w:ascii="Verdana" w:hAnsi="Verdana"/>
          <w:sz w:val="20"/>
          <w:szCs w:val="20"/>
        </w:rPr>
        <w:t xml:space="preserve"> </w:t>
      </w:r>
      <w:r w:rsidRPr="00376DC4">
        <w:rPr>
          <w:rFonts w:ascii="Verdana" w:hAnsi="Verdana"/>
          <w:sz w:val="20"/>
          <w:szCs w:val="20"/>
        </w:rPr>
        <w:t>because it found that 10,800 bags of pellets, each weighing 15 kg, had been imported, for a total value of €39,179.70. The decision is not manifestly illogical or contradictory, so the third ground of appeal must also be rejected.</w:t>
      </w:r>
    </w:p>
    <w:p w14:paraId="355F8BFF" w14:textId="77777777" w:rsidR="00E86332" w:rsidRDefault="00376DC4" w:rsidP="00E86332">
      <w:pPr>
        <w:spacing w:line="480" w:lineRule="atLeast"/>
        <w:jc w:val="both"/>
        <w:rPr>
          <w:rFonts w:ascii="Verdana" w:hAnsi="Verdana"/>
          <w:sz w:val="20"/>
          <w:szCs w:val="20"/>
        </w:rPr>
      </w:pPr>
      <w:r w:rsidRPr="00376DC4">
        <w:rPr>
          <w:rFonts w:ascii="Verdana" w:hAnsi="Verdana"/>
          <w:sz w:val="20"/>
          <w:szCs w:val="20"/>
        </w:rPr>
        <w:t>Based on the above considerations, the Court therefore finds that the appeal must be dismissed, with the appellant being ordered, pursuant to Article 616 of the Code of Criminal Procedure, to pay the costs of the proceedings.</w:t>
      </w:r>
    </w:p>
    <w:p w14:paraId="0ED70CAD" w14:textId="77777777" w:rsidR="00E86332" w:rsidRDefault="00E86332" w:rsidP="00E86332">
      <w:pPr>
        <w:spacing w:line="480" w:lineRule="atLeast"/>
        <w:jc w:val="both"/>
        <w:rPr>
          <w:rFonts w:ascii="Verdana" w:hAnsi="Verdana"/>
          <w:sz w:val="20"/>
          <w:szCs w:val="20"/>
        </w:rPr>
      </w:pPr>
      <w:r>
        <w:rPr>
          <w:rFonts w:ascii="Verdana" w:hAnsi="Verdana"/>
          <w:b/>
          <w:bCs/>
          <w:sz w:val="20"/>
          <w:szCs w:val="20"/>
        </w:rPr>
        <w:t xml:space="preserve">For these reasons </w:t>
      </w:r>
    </w:p>
    <w:p w14:paraId="634E2DD6" w14:textId="3658FC62" w:rsidR="00376DC4" w:rsidRPr="00376DC4" w:rsidRDefault="00376DC4" w:rsidP="00E86332">
      <w:pPr>
        <w:spacing w:line="480" w:lineRule="atLeast"/>
        <w:jc w:val="both"/>
        <w:rPr>
          <w:rFonts w:ascii="Verdana" w:hAnsi="Verdana"/>
          <w:sz w:val="20"/>
          <w:szCs w:val="20"/>
        </w:rPr>
      </w:pPr>
      <w:r w:rsidRPr="00376DC4">
        <w:rPr>
          <w:rFonts w:ascii="Verdana" w:hAnsi="Verdana"/>
          <w:sz w:val="20"/>
          <w:szCs w:val="20"/>
        </w:rPr>
        <w:t>The Court dismisses the appeal and orders the appellant to pay the costs of the proceedings.</w:t>
      </w:r>
    </w:p>
    <w:p w14:paraId="15A96A64" w14:textId="77777777" w:rsidR="00E86332" w:rsidRDefault="00376DC4" w:rsidP="00376DC4">
      <w:pPr>
        <w:spacing w:line="480" w:lineRule="atLeast"/>
        <w:jc w:val="both"/>
        <w:rPr>
          <w:rFonts w:ascii="Verdana" w:hAnsi="Verdana"/>
          <w:sz w:val="20"/>
          <w:szCs w:val="20"/>
        </w:rPr>
      </w:pPr>
      <w:r w:rsidRPr="00376DC4">
        <w:rPr>
          <w:rFonts w:ascii="Verdana" w:hAnsi="Verdana"/>
          <w:sz w:val="20"/>
          <w:szCs w:val="20"/>
        </w:rPr>
        <w:t>So decided in Rome, 5 June 2025.</w:t>
      </w:r>
      <w:r w:rsidR="00E86332">
        <w:rPr>
          <w:rFonts w:ascii="Verdana" w:hAnsi="Verdana"/>
          <w:sz w:val="20"/>
          <w:szCs w:val="20"/>
        </w:rPr>
        <w:t xml:space="preserve"> </w:t>
      </w:r>
    </w:p>
    <w:p w14:paraId="494144F5" w14:textId="6B0E10DA" w:rsidR="00376DC4" w:rsidRPr="00376DC4" w:rsidRDefault="00376DC4" w:rsidP="00376DC4">
      <w:pPr>
        <w:spacing w:line="480" w:lineRule="atLeast"/>
        <w:jc w:val="both"/>
        <w:rPr>
          <w:rFonts w:ascii="Verdana" w:hAnsi="Verdana"/>
          <w:sz w:val="20"/>
          <w:szCs w:val="20"/>
        </w:rPr>
      </w:pPr>
      <w:r w:rsidRPr="00376DC4">
        <w:rPr>
          <w:rFonts w:ascii="Verdana" w:hAnsi="Verdana"/>
          <w:sz w:val="20"/>
          <w:szCs w:val="20"/>
        </w:rPr>
        <w:t>Filed with the Registry on 4 August 2025.</w:t>
      </w:r>
    </w:p>
    <w:p w14:paraId="275BD8B8" w14:textId="77777777" w:rsidR="0079033E" w:rsidRPr="00376DC4" w:rsidRDefault="0079033E" w:rsidP="00376DC4">
      <w:pPr>
        <w:spacing w:line="480" w:lineRule="atLeast"/>
        <w:jc w:val="both"/>
        <w:rPr>
          <w:rFonts w:ascii="Verdana" w:hAnsi="Verdana"/>
          <w:sz w:val="20"/>
          <w:szCs w:val="20"/>
        </w:rPr>
      </w:pPr>
    </w:p>
    <w:sectPr w:rsidR="0079033E" w:rsidRPr="00376D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AE2"/>
    <w:multiLevelType w:val="multilevel"/>
    <w:tmpl w:val="5566B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4559B"/>
    <w:multiLevelType w:val="multilevel"/>
    <w:tmpl w:val="D548C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5103137">
    <w:abstractNumId w:val="0"/>
  </w:num>
  <w:num w:numId="2" w16cid:durableId="102998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50"/>
    <w:rsid w:val="00207CAC"/>
    <w:rsid w:val="00217E3B"/>
    <w:rsid w:val="00376DC4"/>
    <w:rsid w:val="00651F1F"/>
    <w:rsid w:val="00657B35"/>
    <w:rsid w:val="00662902"/>
    <w:rsid w:val="006D792E"/>
    <w:rsid w:val="00785077"/>
    <w:rsid w:val="0079033E"/>
    <w:rsid w:val="007906B6"/>
    <w:rsid w:val="00823276"/>
    <w:rsid w:val="00955150"/>
    <w:rsid w:val="00E059E0"/>
    <w:rsid w:val="00E37CB1"/>
    <w:rsid w:val="00E86332"/>
    <w:rsid w:val="00ED02E9"/>
    <w:rsid w:val="00F02A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F2F0"/>
  <w15:chartTrackingRefBased/>
  <w15:docId w15:val="{A708646F-8F37-4F4A-9C37-EFB4D135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1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1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1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1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1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1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1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1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1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1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1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1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1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1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1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150"/>
    <w:rPr>
      <w:rFonts w:eastAsiaTheme="majorEastAsia" w:cstheme="majorBidi"/>
      <w:color w:val="272727" w:themeColor="text1" w:themeTint="D8"/>
    </w:rPr>
  </w:style>
  <w:style w:type="paragraph" w:styleId="Title">
    <w:name w:val="Title"/>
    <w:basedOn w:val="Normal"/>
    <w:next w:val="Normal"/>
    <w:link w:val="TitleChar"/>
    <w:uiPriority w:val="10"/>
    <w:qFormat/>
    <w:rsid w:val="00955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1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1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1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150"/>
    <w:pPr>
      <w:spacing w:before="160"/>
      <w:jc w:val="center"/>
    </w:pPr>
    <w:rPr>
      <w:i/>
      <w:iCs/>
      <w:color w:val="404040" w:themeColor="text1" w:themeTint="BF"/>
    </w:rPr>
  </w:style>
  <w:style w:type="character" w:customStyle="1" w:styleId="QuoteChar">
    <w:name w:val="Quote Char"/>
    <w:basedOn w:val="DefaultParagraphFont"/>
    <w:link w:val="Quote"/>
    <w:uiPriority w:val="29"/>
    <w:rsid w:val="00955150"/>
    <w:rPr>
      <w:i/>
      <w:iCs/>
      <w:color w:val="404040" w:themeColor="text1" w:themeTint="BF"/>
    </w:rPr>
  </w:style>
  <w:style w:type="paragraph" w:styleId="ListParagraph">
    <w:name w:val="List Paragraph"/>
    <w:basedOn w:val="Normal"/>
    <w:uiPriority w:val="34"/>
    <w:qFormat/>
    <w:rsid w:val="00955150"/>
    <w:pPr>
      <w:ind w:left="720"/>
      <w:contextualSpacing/>
    </w:pPr>
  </w:style>
  <w:style w:type="character" w:styleId="IntenseEmphasis">
    <w:name w:val="Intense Emphasis"/>
    <w:basedOn w:val="DefaultParagraphFont"/>
    <w:uiPriority w:val="21"/>
    <w:qFormat/>
    <w:rsid w:val="00955150"/>
    <w:rPr>
      <w:i/>
      <w:iCs/>
      <w:color w:val="0F4761" w:themeColor="accent1" w:themeShade="BF"/>
    </w:rPr>
  </w:style>
  <w:style w:type="paragraph" w:styleId="IntenseQuote">
    <w:name w:val="Intense Quote"/>
    <w:basedOn w:val="Normal"/>
    <w:next w:val="Normal"/>
    <w:link w:val="IntenseQuoteChar"/>
    <w:uiPriority w:val="30"/>
    <w:qFormat/>
    <w:rsid w:val="00955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150"/>
    <w:rPr>
      <w:i/>
      <w:iCs/>
      <w:color w:val="0F4761" w:themeColor="accent1" w:themeShade="BF"/>
    </w:rPr>
  </w:style>
  <w:style w:type="character" w:styleId="IntenseReference">
    <w:name w:val="Intense Reference"/>
    <w:basedOn w:val="DefaultParagraphFont"/>
    <w:uiPriority w:val="32"/>
    <w:qFormat/>
    <w:rsid w:val="00955150"/>
    <w:rPr>
      <w:b/>
      <w:bCs/>
      <w:smallCaps/>
      <w:color w:val="0F4761" w:themeColor="accent1" w:themeShade="BF"/>
      <w:spacing w:val="5"/>
    </w:rPr>
  </w:style>
  <w:style w:type="paragraph" w:styleId="NormalWeb">
    <w:name w:val="Normal (Web)"/>
    <w:basedOn w:val="Normal"/>
    <w:uiPriority w:val="99"/>
    <w:semiHidden/>
    <w:unhideWhenUsed/>
    <w:rsid w:val="00E37C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236480">
      <w:bodyDiv w:val="1"/>
      <w:marLeft w:val="0"/>
      <w:marRight w:val="0"/>
      <w:marTop w:val="0"/>
      <w:marBottom w:val="0"/>
      <w:divBdr>
        <w:top w:val="none" w:sz="0" w:space="0" w:color="auto"/>
        <w:left w:val="none" w:sz="0" w:space="0" w:color="auto"/>
        <w:bottom w:val="none" w:sz="0" w:space="0" w:color="auto"/>
        <w:right w:val="none" w:sz="0" w:space="0" w:color="auto"/>
      </w:divBdr>
    </w:div>
    <w:div w:id="1108741038">
      <w:bodyDiv w:val="1"/>
      <w:marLeft w:val="0"/>
      <w:marRight w:val="0"/>
      <w:marTop w:val="0"/>
      <w:marBottom w:val="0"/>
      <w:divBdr>
        <w:top w:val="none" w:sz="0" w:space="0" w:color="auto"/>
        <w:left w:val="none" w:sz="0" w:space="0" w:color="auto"/>
        <w:bottom w:val="none" w:sz="0" w:space="0" w:color="auto"/>
        <w:right w:val="none" w:sz="0" w:space="0" w:color="auto"/>
      </w:divBdr>
    </w:div>
    <w:div w:id="1228569675">
      <w:bodyDiv w:val="1"/>
      <w:marLeft w:val="0"/>
      <w:marRight w:val="0"/>
      <w:marTop w:val="0"/>
      <w:marBottom w:val="0"/>
      <w:divBdr>
        <w:top w:val="none" w:sz="0" w:space="0" w:color="auto"/>
        <w:left w:val="none" w:sz="0" w:space="0" w:color="auto"/>
        <w:bottom w:val="none" w:sz="0" w:space="0" w:color="auto"/>
        <w:right w:val="none" w:sz="0" w:space="0" w:color="auto"/>
      </w:divBdr>
    </w:div>
    <w:div w:id="1346395212">
      <w:bodyDiv w:val="1"/>
      <w:marLeft w:val="0"/>
      <w:marRight w:val="0"/>
      <w:marTop w:val="0"/>
      <w:marBottom w:val="0"/>
      <w:divBdr>
        <w:top w:val="none" w:sz="0" w:space="0" w:color="auto"/>
        <w:left w:val="none" w:sz="0" w:space="0" w:color="auto"/>
        <w:bottom w:val="none" w:sz="0" w:space="0" w:color="auto"/>
        <w:right w:val="none" w:sz="0" w:space="0" w:color="auto"/>
      </w:divBdr>
    </w:div>
    <w:div w:id="1540430251">
      <w:bodyDiv w:val="1"/>
      <w:marLeft w:val="0"/>
      <w:marRight w:val="0"/>
      <w:marTop w:val="0"/>
      <w:marBottom w:val="0"/>
      <w:divBdr>
        <w:top w:val="none" w:sz="0" w:space="0" w:color="auto"/>
        <w:left w:val="none" w:sz="0" w:space="0" w:color="auto"/>
        <w:bottom w:val="none" w:sz="0" w:space="0" w:color="auto"/>
        <w:right w:val="none" w:sz="0" w:space="0" w:color="auto"/>
      </w:divBdr>
    </w:div>
    <w:div w:id="158147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dc:creator>
  <cp:keywords/>
  <dc:description/>
  <cp:lastModifiedBy>S+S</cp:lastModifiedBy>
  <cp:revision>2</cp:revision>
  <dcterms:created xsi:type="dcterms:W3CDTF">2025-10-27T17:28:00Z</dcterms:created>
  <dcterms:modified xsi:type="dcterms:W3CDTF">2025-10-27T17:28:00Z</dcterms:modified>
</cp:coreProperties>
</file>